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ed710348bb0e1e12d65651decbc137c866962"/>
    <w:p>
      <w:pPr>
        <w:pStyle w:val="Heading3"/>
      </w:pPr>
      <w:r>
        <w:t xml:space="preserve">ОФИЦЕРЫ СОБР «СТОЛИЦА» ПРОШЛИ ЗАНЯТИЯ ПО КУРСУ ЭКСТРЕННОЙ МЕДИЦИНЫ</w:t>
      </w:r>
    </w:p>
    <w:p>
      <w:pPr>
        <w:pStyle w:val="FirstParagraph"/>
      </w:pPr>
      <w:r>
        <w:t xml:space="preserve">03.03.2023</w:t>
      </w:r>
    </w:p>
    <w:p>
      <w:pPr>
        <w:pStyle w:val="BodyText"/>
      </w:pPr>
      <w:r>
        <w:rPr>
          <w:iCs/>
          <w:i/>
        </w:rPr>
        <w:t xml:space="preserve">Офицеры СОБР «Столица» Главного управления Росгвардии по городу Москве прошли занятия на базе Московского территориального научно-практического центра медицины катастроф ДЗМ под руководством заведующего учебным отделом Глебом Сметаниным.</w:t>
      </w:r>
    </w:p>
    <w:p>
      <w:pPr>
        <w:pStyle w:val="BodyText"/>
      </w:pPr>
      <w:r>
        <w:t xml:space="preserve">Столичный спецназ Росгвардии отточил свои навыки пройдя три этапа курса занятий. Первый этап заключался в самопомощи, наложении жгута на предполагаемые пораженные участки тела с ранением с дополнительной дезориентацией в пространстве. Вторым этапом стало оказание первой экстренной помощи напарнику, в которое входило: непрямой массаж сердца, катетеризация периферических сосудов, остановка кровотечения путем тампонирования раны с использованием гемостатических средств. Заключающий этап был посвящен оказанию первой помощи в бытовых условиях и первой помощи детям до одного года.</w:t>
      </w:r>
    </w:p>
    <w:p>
      <w:pPr>
        <w:pStyle w:val="BodyText"/>
      </w:pPr>
      <w:r>
        <w:t xml:space="preserve">Офицеры СОБР «Столица», в составе тактической группы Росгвардии, успешно прошли первый курс оказания экстренной помощи.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http://marina-roscha.mos.ru/true/detail/11443411.html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434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434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2025-05-22T15:55:17Z</dcterms:created>
  <dcterms:modified xsi:type="dcterms:W3CDTF">2025-05-22T15:55:17Z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