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33a19222acdc5be75070f0eac846311143f4"/>
    <w:p>
      <w:pPr>
        <w:pStyle w:val="Heading3"/>
      </w:pPr>
      <w:r>
        <w:t xml:space="preserve">ПРИ СОДЕЙСТВИИ СПЕЦНАЗА РОСГВАРДИИ ЛИКВИДИРОВАН КАНАЛ ПОСТАВКИ КРУПНОЙ ПАРТИИ НАРКОТИКОВ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rPr>
          <w:iCs/>
          <w:i/>
        </w:rPr>
        <w:t xml:space="preserve">Сотрудниками ОМОН «Меч» на транспорте Главного управления Росгвардии по городу Москве совместно с коллегами из ФСБ и МВД перекрыт канал поставки железнодорожным и автомобильным транспортом наркотических средств из Московского региона на территорию Северо-Западного федерального округа и Республики Мордовия.</w:t>
      </w:r>
    </w:p>
    <w:p>
      <w:pPr>
        <w:pStyle w:val="BodyText"/>
      </w:pPr>
      <w:r>
        <w:t xml:space="preserve">Вблизи гаража в Востряковском проезде столицы спецназовцами совместно с коллегами из ФСБ России и МВД был остановлен автомобиль марки Рено «Дастер». В багажнике машины обнаружена сумка, в которой находилось свыше семи килограммов мефедрона. Было установлено, что запрещённые препараты злоумышленник извлек из тайника-закладки возле железнодорожной платформы «Шугарово» городского округа Ступино Московской области и привез в гараж для фасовки.</w:t>
      </w:r>
    </w:p>
    <w:p>
      <w:pPr>
        <w:pStyle w:val="BodyText"/>
      </w:pPr>
      <w:r>
        <w:t xml:space="preserve">В это же время по адресу проживания был задержан его сын. В ходе обыска обнаружены ноутбук и два сотовых телефона. При исследовании ноутбука найдена виртуальная площадка, через которую продавали наркотические средства в сети Интернет. Установлено, что задержанные организовали на ней свой интернет-магазин, при осмотре витрины которого выявлено 28 тайников-закладок с наркотическими средствами общей массой около 2,5 килограмма, подготовленными к сбыту. Закладки в настоящее время ликвидированы полицейскими.</w:t>
      </w:r>
    </w:p>
    <w:p>
      <w:pPr>
        <w:pStyle w:val="BodyText"/>
      </w:pPr>
      <w:r>
        <w:t xml:space="preserve">По данному факту возбуждено уголовное дело. Фигуранты заключены под стражу. Предварительное расследование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http://marina-roscha.mos.ru/true/detail/11437131.html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37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37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2025-05-27T18:12:01Z</dcterms:created>
  <dcterms:modified xsi:type="dcterms:W3CDTF">2025-05-27T18:12:01Z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