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62eef8903085a9558b3ccc00a1c11b9fb69e9"/>
    <w:p>
      <w:pPr>
        <w:pStyle w:val="Heading3"/>
      </w:pPr>
      <w:r>
        <w:t xml:space="preserve">В Марьиной роще неплательщики задолжали за "коммуналку" боле 120 миллионов рублей</w:t>
      </w:r>
    </w:p>
    <w:p>
      <w:pPr>
        <w:pStyle w:val="FirstParagraph"/>
      </w:pPr>
      <w:r>
        <w:t xml:space="preserve">02.11.2020</w:t>
      </w:r>
    </w:p>
    <w:p>
      <w:pPr>
        <w:pStyle w:val="BodyText"/>
      </w:pPr>
      <w:r>
        <w:rPr>
          <w:iCs/>
          <w:i/>
          <w:bCs/>
          <w:b/>
        </w:rPr>
        <w:t xml:space="preserve">Чуть больше 120 миллионов рублей задолжали за жилищно-коммунальные услуги неплательщики, проживающие в районе Марьина роща.</w:t>
      </w:r>
      <w:r>
        <w:br/>
      </w:r>
      <w:r>
        <w:br/>
      </w:r>
      <w:r>
        <w:t xml:space="preserve">Разъясняем, что всего насчитывает 1478 финансовых лицевых счетов. Общая составляет 120,084,473 миллиона рублей.</w:t>
      </w:r>
      <w:r>
        <w:br/>
      </w:r>
      <w:r>
        <w:br/>
      </w:r>
      <w:r>
        <w:t xml:space="preserve">Возникновение задолженностей за жилищно-коммунальные услуги возникают часто и по разным причинам: нехватка финансовых средств, невнимательность, недобросовестность нанимателя или собственника жилья. Подобные обстоятельства будут приниматься управляющей компанией во внимание при решении вопроса о погашении долга.</w:t>
      </w:r>
      <w:r>
        <w:br/>
      </w:r>
      <w:r>
        <w:t xml:space="preserve">Чтобы своевременно оформить рассрочку оплаты долга, необходимо обратиться в ГБУ «Жилищник района Марьина роща».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http://marina-roscha.mos.ru/presscenter/news/detail/9376190.html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9376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9376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2025-02-26T03:07:51Z</dcterms:created>
  <dcterms:modified xsi:type="dcterms:W3CDTF">2025-02-26T03:07:51Z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