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7ad39ac6ccc2f585db1ad7135844eaf53482d"/>
    <w:p>
      <w:pPr>
        <w:pStyle w:val="Heading3"/>
      </w:pPr>
      <w:r>
        <w:t xml:space="preserve">Распоряжение № 3079 от 10.05.20145 года от утверждении проекта межевания территории квартала, ограниченного с улицей Стрелецкой, 4-ым Стрелецким проездом, улицей Сущёвский Вал, улицей Двинцев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drawing>
          <wp:inline>
            <wp:extent cx="5334000" cy="7537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about/missiya/_3079_pd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http://marina-roscha.mos.ru/documents/public-hearings/detail/1882832.html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documents/public-hearings/detail/1882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documents/public-hearings/detail/1882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2025-06-17T09:08:54Z</dcterms:created>
  <dcterms:modified xsi:type="dcterms:W3CDTF">2025-06-17T09:08:54Z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