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c1768b6813b1e676f2b481d488e087e6ba27dd"/>
    <w:p>
      <w:pPr>
        <w:pStyle w:val="Heading3"/>
      </w:pPr>
      <w:r>
        <w:t xml:space="preserve">Проект межевания территории квартала, ограниченного 4-й Стрелецким проездом, Стрелецкой улицей, Новотихвинской улицей и проектируемым проездом № 1191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iCs/>
            <w:i/>
            <w:bCs/>
            <w:b/>
          </w:rPr>
          <w:t xml:space="preserve">Скачать файл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http://marina-roscha.mos.ru/documents/public-hearings/detail/1671336.html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documents/public-hearings/detail/1671336.html" TargetMode="External" /><Relationship Type="http://schemas.openxmlformats.org/officeDocument/2006/relationships/hyperlink" Id="rId20" Target="https://yadi.sk/i/tIyoEjXsfXz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documents/public-hearings/detail/1671336.html" TargetMode="External" /><Relationship Type="http://schemas.openxmlformats.org/officeDocument/2006/relationships/hyperlink" Id="rId20" Target="https://yadi.sk/i/tIyoEjXsfXz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2023-09-17T19:48:24Z</dcterms:created>
  <dcterms:modified xsi:type="dcterms:W3CDTF">2023-09-17T19:48:24Z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