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лан-межевание-территории"/>
    <w:p>
      <w:pPr>
        <w:pStyle w:val="Heading3"/>
      </w:pPr>
      <w:r>
        <w:t xml:space="preserve">План Межевание территории</w:t>
      </w:r>
    </w:p>
    <w:p>
      <w:pPr>
        <w:pStyle w:val="FirstParagraph"/>
      </w:pPr>
      <w:r>
        <w:t xml:space="preserve">25.09.2014</w:t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rina-roscha.mos.ru/www/upload/medialibrary/6c7/plan-mezhevanie-territori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http://marina-roscha.mos.ru/documents/public-hearings/detail/1308900.html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arina-roscha.mos.ru" TargetMode="External" /><Relationship Type="http://schemas.openxmlformats.org/officeDocument/2006/relationships/hyperlink" Id="rId23" Target="http://marina-roscha.mos.ru/documents/public-hearings/detail/13089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rina-roscha.mos.ru" TargetMode="External" /><Relationship Type="http://schemas.openxmlformats.org/officeDocument/2006/relationships/hyperlink" Id="rId23" Target="http://marina-roscha.mos.ru/documents/public-hearings/detail/13089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2024-03-02T16:19:18Z</dcterms:created>
  <dcterms:modified xsi:type="dcterms:W3CDTF">2024-03-02T16:19:18Z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