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cf2063bb64f91d4656f4b4dfc198c0236e4e9"/>
    <w:p>
      <w:pPr>
        <w:pStyle w:val="Heading3"/>
      </w:pPr>
      <w:r>
        <w:t xml:space="preserve">Об утверждении Карты рисков нарушения антимонопольного законодательства на 2025 Год, Плана мероприятий «дорожная карта» по снижению рисков нарушения антимонопольного законодательства управы района Марьина роща города Москвы на 2025 год и Методики расчета</w:t>
      </w:r>
    </w:p>
    <w:p>
      <w:pPr>
        <w:pStyle w:val="FirstParagraph"/>
      </w:pPr>
      <w:r>
        <w:t xml:space="preserve">18.03.2025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http://marina-roscha.mos.ru/documents/antitrust-compliance/detail/12863367.html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12863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a-roscha.mos.ru" TargetMode="External" /><Relationship Type="http://schemas.openxmlformats.org/officeDocument/2006/relationships/hyperlink" Id="rId20" Target="http://marina-roscha.mos.ru/documents/antitrust-compliance/detail/12863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2025-04-04T10:41:16Z</dcterms:created>
  <dcterms:modified xsi:type="dcterms:W3CDTF">2025-04-04T10:41:16Z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