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d3748313e17804d1b5217d405bdb9bdb15c95"/>
    <w:p>
      <w:pPr>
        <w:pStyle w:val="Heading3"/>
      </w:pPr>
      <w:r>
        <w:t xml:space="preserve">1 октября 2021 года в управе района Марьина роща прошло заседание рабочих групп по вопросам межнациональных отношений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1 октября в управе района Марьина роща прошло заседание рабочих групп по вопросам межнациональных отношений, формированию гражданской солидарности, противодействия экстремизму в молодежной среде и пропагандисткой группы по противодействию идеологии терроризма. На заседании рассматривались вопросы реализации профилактических мероприятий по противодействию проявления идеологии экстремизма и терроризма в студенческой среде.</w:t>
      </w:r>
      <w:r>
        <w:br/>
      </w:r>
      <w:r>
        <w:t xml:space="preserve">Также наградили учатников районного конкурса социальной рекламы "Мы за жизнь без наркотиков".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http://marina-roscha.mos.ru/antiterror/meropriyatiya-/detail/12092817.html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terror/meropriyatiya-/detail/12092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terror/meropriyatiya-/detail/12092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2024-04-05T23:49:53Z</dcterms:created>
  <dcterms:modified xsi:type="dcterms:W3CDTF">2024-04-05T23:49:53Z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