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fd1a5b4614f31eb57f2f5cebf623c6c3248828"/>
    <w:p>
      <w:pPr>
        <w:pStyle w:val="Heading3"/>
      </w:pPr>
      <w:r>
        <w:t xml:space="preserve">Противодействие коррупции - Эстафера добрых дел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ina-roscha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http://marina-roscha.mos.ru/anti-corruption/methodical-materials/detail/7835062.html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arina-roscha.mos.ru" TargetMode="External" /><Relationship Type="http://schemas.openxmlformats.org/officeDocument/2006/relationships/hyperlink" Id="rId23" Target="http://marina-roscha.mos.ru/anti-corruption/methodical-materials/detail/78350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ina-roscha.mos.ru" TargetMode="External" /><Relationship Type="http://schemas.openxmlformats.org/officeDocument/2006/relationships/hyperlink" Id="rId23" Target="http://marina-roscha.mos.ru/anti-corruption/methodical-materials/detail/78350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2025-07-26T12:44:19Z</dcterms:created>
  <dcterms:modified xsi:type="dcterms:W3CDTF">2025-07-26T12:44:19Z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