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af2fab33a27c28ca2cc8fcd0f996ef91a7e21"/>
    <w:p>
      <w:pPr>
        <w:pStyle w:val="Heading3"/>
      </w:pPr>
      <w:r>
        <w:t xml:space="preserve">Памятка поведения государственных гражданских служащих по урегулированию ситуаций, связанных с конфликтом интересов на государственной гражданской службе города Москвы</w:t>
      </w:r>
    </w:p>
    <w:p>
      <w:pPr>
        <w:pStyle w:val="FirstParagraph"/>
      </w:pPr>
      <w:r>
        <w:t xml:space="preserve">09.07.2014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http://marina-roscha.mos.ru/anti-corruption/methodical-materials/detail/1115903.html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1115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1115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2023-07-13T12:14:23Z</dcterms:created>
  <dcterms:modified xsi:type="dcterms:W3CDTF">2023-07-13T12:14:23Z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