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15b9e785d77d2984ce3042b5ee1da3d1eac28a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директора Государственного бюджетного учреждения города Москвы «Жилищник района Марьина роща», и членов его семьи за период с 1 января 2016 г. по 31 декабря 2016 г.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hyperlink r:id="rId20">
        <w:r>
          <w:rPr>
            <w:rStyle w:val="Hyperlink"/>
          </w:rPr>
          <w:t xml:space="preserve">Посмотреть сведения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http://marina-roscha.mos.ru/anti-corruption/information-on-income-expenses-about-property-and-obligations-of-property-character/detail/11088738.html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information-on-income-expenses-about-property-and-obligations-of-property-character/detail/11088738.html" TargetMode="External" /><Relationship Type="http://schemas.openxmlformats.org/officeDocument/2006/relationships/hyperlink" Id="rId20" Target="https://svao.mos.ru/anti-corruption/information-on-income-expenses-about-property-and-obligations-of-property-charact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information-on-income-expenses-about-property-and-obligations-of-property-character/detail/11088738.html" TargetMode="External" /><Relationship Type="http://schemas.openxmlformats.org/officeDocument/2006/relationships/hyperlink" Id="rId20" Target="https://svao.mos.ru/anti-corruption/information-on-income-expenses-about-property-and-obligations-of-property-charact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2024-08-13T02:07:58Z</dcterms:created>
  <dcterms:modified xsi:type="dcterms:W3CDTF">2024-08-13T02:07:58Z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