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88199026110338047e0799bc27ebe35d0efed"/>
    <w:p>
      <w:pPr>
        <w:pStyle w:val="Heading3"/>
      </w:pPr>
      <w:r>
        <w:t xml:space="preserve">Сведения о доходах, об имуществе и обязательствах имущественного характера государственных гражданских служащих, замещающих должности первых заместителей, заместителей глав управ районов и членов их семей за период с 1 января 2021 по 31 декабря 2021 г.</w:t>
      </w:r>
    </w:p>
    <w:p>
      <w:pPr>
        <w:pStyle w:val="FirstParagraph"/>
      </w:pPr>
      <w:r>
        <w:t xml:space="preserve">13.05.2022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http://marina-roscha.mos.ru/anti-corruption/information-on-income-expenses-about-property-and-obligations-of-property-character/detail/10799220.html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information-on-income-expenses-about-property-and-obligations-of-property-character/detail/10799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anti-corruption/information-on-income-expenses-about-property-and-obligations-of-property-character/detail/10799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2024-05-04T22:25:36Z</dcterms:created>
  <dcterms:modified xsi:type="dcterms:W3CDTF">2024-05-04T22:25:36Z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